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b/>
          <w:bCs/>
          <w:sz w:val="34"/>
          <w:szCs w:val="34"/>
        </w:rPr>
        <w:t xml:space="preserve">Jordan Avery</w:t>
      </w:r>
    </w:p>
    <w:p>
      <w:pPr>
        <w:spacing w:after="120"/>
      </w:pPr>
      <w:r>
        <w:rPr>
          <w:color w:val="404040"/>
          <w:sz w:val="18"/>
          <w:szCs w:val="18"/>
        </w:rPr>
        <w:t xml:space="preserve">jordan.avery@example.test | +1 202 555 0147 | Example City, EX | https://portfolio.example.test/jordan-avery</w:t>
      </w:r>
    </w:p>
    <w:p>
      <w:r>
        <w:rPr>
          <w:b/>
          <w:bCs/>
          <w:color w:val="0F766E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r>
        <w:br w:type="page"/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Section page breaks</dc:title>
  <dc:subject>Experience and education are split across deliberate page boundaries.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